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140FB7">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Nr. crt</w:t>
            </w:r>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140FB7">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F6E98"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140FB7">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Europeană pentru Reconstrucție şi Dezvoltare</w:t>
            </w:r>
          </w:p>
        </w:tc>
      </w:tr>
      <w:tr w:rsidR="005A5CD9"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140FB7">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140FB7">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140FB7">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CF4730"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CPEn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140FB7">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A0778F" w:rsidRDefault="005A5CD9" w:rsidP="00140FB7">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Deşeuri de echipamente electrice şi electronice</w:t>
            </w:r>
          </w:p>
        </w:tc>
      </w:tr>
      <w:tr w:rsidR="005A5CD9"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Direcția Județeană pentru Cultură, Culte şi Patrimoniul Cultural</w:t>
            </w:r>
          </w:p>
        </w:tc>
      </w:tr>
      <w:tr w:rsidR="005A5CD9"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Principiul „a nu prejudicia în mod semnificativ” (Do No Significant Harm)</w:t>
            </w:r>
          </w:p>
        </w:tc>
      </w:tr>
      <w:tr w:rsidR="005A5CD9"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Enhanced Environmently friendly Vehicle (normă Euro între Euro V și Euro VI)</w:t>
            </w:r>
          </w:p>
        </w:tc>
      </w:tr>
      <w:tr w:rsidR="005A5CD9"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Aptitudini, competențe, calificări și ocupații europene (European skills, competences, qualification and occupations)</w:t>
            </w:r>
          </w:p>
        </w:tc>
      </w:tr>
      <w:tr w:rsidR="005A5CD9"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Cedefop</w:t>
            </w:r>
          </w:p>
        </w:tc>
      </w:tr>
      <w:tr w:rsidR="005A5CD9"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Pescuit şi Afaceri Maritime</w:t>
            </w:r>
          </w:p>
        </w:tc>
      </w:tr>
      <w:tr w:rsidR="005A5CD9"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Incubatoare Tehnologice şi de Afaceri</w:t>
            </w:r>
          </w:p>
        </w:tc>
      </w:tr>
      <w:tr w:rsidR="005A5CD9"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140FB7">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140FB7">
            <w:pPr>
              <w:rPr>
                <w:rFonts w:ascii="Montserrat" w:hAnsi="Montserrat"/>
                <w:sz w:val="22"/>
                <w:szCs w:val="22"/>
              </w:rPr>
            </w:pPr>
            <w:r w:rsidRPr="00CF4730">
              <w:rPr>
                <w:rFonts w:ascii="Montserrat" w:eastAsia="SimSun" w:hAnsi="Montserrat" w:cs="Calibri"/>
                <w:sz w:val="22"/>
                <w:szCs w:val="22"/>
                <w:lang w:val="ro-RO"/>
              </w:rPr>
              <w:t>Inovare şi Transfer Tehnologic</w:t>
            </w:r>
          </w:p>
        </w:tc>
      </w:tr>
      <w:tr w:rsidR="005A5CD9"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140FB7">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140FB7">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140FB7">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140FB7">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Național de  Asistență Comunitară şi Acțiuni pentru Sănătate</w:t>
            </w:r>
          </w:p>
        </w:tc>
      </w:tr>
      <w:tr w:rsidR="005A5CD9"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140FB7">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140FB7">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F6E98" w:rsidRDefault="005A5CD9" w:rsidP="00140FB7">
            <w:pPr>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Parcuri Ştiințifice şi Tehnologice</w:t>
            </w:r>
          </w:p>
        </w:tc>
      </w:tr>
      <w:tr w:rsidR="005A5CD9"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PTr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140FB7">
            <w:pPr>
              <w:ind w:right="174"/>
              <w:jc w:val="both"/>
              <w:rPr>
                <w:rFonts w:ascii="Montserrat" w:hAnsi="Montserrat" w:cs="Times New Roman"/>
                <w:sz w:val="22"/>
                <w:szCs w:val="22"/>
              </w:rPr>
            </w:pPr>
            <w:r w:rsidRPr="00CF4730">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 Dezvoltare şi Inovare</w:t>
            </w:r>
          </w:p>
        </w:tc>
      </w:tr>
      <w:tr w:rsidR="005A5CD9"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Trans-European Transport Networks</w:t>
            </w:r>
          </w:p>
        </w:tc>
      </w:tr>
      <w:tr w:rsidR="005A5CD9"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140FB7">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140FB7">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and Tourism Council  </w:t>
            </w:r>
          </w:p>
        </w:tc>
      </w:tr>
      <w:tr w:rsidR="005A5CD9"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Youth Employment Initiative</w:t>
            </w:r>
          </w:p>
        </w:tc>
      </w:tr>
    </w:tbl>
    <w:p w14:paraId="10EFC20B" w14:textId="77777777" w:rsidR="00896281" w:rsidRDefault="00896281" w:rsidP="00FE3A45">
      <w:pPr>
        <w:spacing w:before="120" w:after="120"/>
        <w:jc w:val="both"/>
        <w:rPr>
          <w:rFonts w:ascii="Montserrat" w:hAnsi="Montserrat" w:cs="Arial"/>
          <w:b/>
          <w:bCs/>
          <w:sz w:val="22"/>
          <w:szCs w:val="22"/>
        </w:rPr>
      </w:pPr>
    </w:p>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Nr. crt</w:t>
            </w:r>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Definiție</w:t>
            </w:r>
          </w:p>
        </w:tc>
      </w:tr>
      <w:tr w:rsidR="00C0028A"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şi lucrări cu un impact redus asupra mediului pe toată durata de viață a acestora, în comparație cu bunurile, serviciile şi lucrările cu aceeaşi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Procesul prin care furnizorul de servicii sociale îşi demonstrează propria capacitate funcţională, organizaţională şi administrativă în acordarea serviciilor sociale, cu condiţia respectării standardelor de calitate în vigoare, iar statul recunoaşte competenţa acestuia de a acorda servicii sociale. - conform Legii nr.  292 din 2011, a asistenţei sociale, art. 5, lit. i)</w:t>
            </w:r>
          </w:p>
        </w:tc>
      </w:tr>
      <w:tr w:rsidR="00C0028A"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dobândește dreptul de </w:t>
            </w:r>
            <w:r w:rsidRPr="00CF4730">
              <w:rPr>
                <w:rFonts w:ascii="Montserrat" w:hAnsi="Montserrat" w:cs="Calibri"/>
                <w:sz w:val="22"/>
                <w:szCs w:val="22"/>
              </w:rPr>
              <w:lastRenderedPageBreak/>
              <w:t>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lastRenderedPageBreak/>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În sensul prezentului Ghid, lucrări asupra unor clădiri, realizate atât pe verticală, prin construirea de etaje noi, mansarde, cât şi pe orizontală prin construirea unui corp anexă în continuarea clădirii existente sau pe acelasi amplasament, care să fie legat structural şi/sau funcțional de clădirea existentă (aceeaşi destinație şi funcționare a corpului anexă condiționată de funcționarea construcției inițiale sau ca o completare necesara la functionalitatea cladirii existente).</w:t>
            </w:r>
          </w:p>
        </w:tc>
      </w:tr>
      <w:tr w:rsidR="00C0028A"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Organism neguvernamental, nonprofit, de utilitate publică, cu personalitate juridică, ce funcționează în domeniul dezvoltării regionale şi care se organizează şi funcționează în condițiile Legii nr. 315/2004[1] privind dezvoltarea regională în România, cu modificările şi completările ulterioare.</w:t>
            </w:r>
          </w:p>
        </w:tc>
      </w:tr>
      <w:tr w:rsidR="00C0028A"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w:t>
            </w:r>
            <w:r w:rsidRPr="00CF4730">
              <w:rPr>
                <w:rFonts w:ascii="Montserrat" w:hAnsi="Montserrat" w:cs="Arial"/>
                <w:sz w:val="22"/>
                <w:szCs w:val="22"/>
                <w:lang w:val="ro-RO"/>
              </w:rPr>
              <w:lastRenderedPageBreak/>
              <w:t>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 xml:space="preserve">Apeluri cu termen limită de depunere: invitație publică adresată de către AM unei categorii clar definite de </w:t>
            </w:r>
            <w:r w:rsidRPr="00A83609">
              <w:rPr>
                <w:rFonts w:ascii="Montserrat" w:eastAsiaTheme="minorHAnsi" w:hAnsi="Montserrat" w:cstheme="minorBidi"/>
                <w:color w:val="27344C"/>
                <w:sz w:val="22"/>
                <w:szCs w:val="22"/>
                <w:lang w:val="en-RO"/>
              </w:rPr>
              <w:lastRenderedPageBreak/>
              <w:t>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77777777"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56AAB6D7"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finantate etapizat, in ordinea descrescatoare a punctajelor obtinute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prioritiza prin punctajul acordat în secțiunea de prioritizare proiecte din cadrul grilei de evaluare.</w:t>
            </w:r>
          </w:p>
        </w:tc>
      </w:tr>
      <w:tr w:rsidR="00C0028A"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lit.c) cu modificările şi completările ulterioare</w:t>
            </w:r>
          </w:p>
        </w:tc>
      </w:tr>
      <w:tr w:rsidR="00C0028A"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7177FC1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publică, la nivel național, responsabilă cu verificarea operațiunilor de management şi a sistemului de control pentru fiecare program operațional, independentă funcțional de Autoritatea de Management şi de Autoritatea de Certificare. În România, pentru toate programele operaționale, Autoritatea de Audit funcționează pe lângă Curtea de Conturi.</w:t>
            </w:r>
          </w:p>
        </w:tc>
      </w:tr>
      <w:tr w:rsidR="00C0028A"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w:t>
            </w:r>
            <w:r w:rsidRPr="00CF4730">
              <w:rPr>
                <w:rFonts w:ascii="Montserrat" w:hAnsi="Montserrat" w:cs="Calibri"/>
                <w:sz w:val="22"/>
                <w:szCs w:val="22"/>
              </w:rPr>
              <w:lastRenderedPageBreak/>
              <w:t xml:space="preserve">admiterii, precum și de organizare și desfășurare a procesului de învățământ. </w:t>
            </w:r>
          </w:p>
        </w:tc>
      </w:tr>
      <w:tr w:rsidR="00C0028A"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r w:rsidRPr="001E6794">
              <w:rPr>
                <w:rFonts w:ascii="Montserrat" w:hAnsi="Montserrat" w:cs="Calibri"/>
                <w:sz w:val="22"/>
                <w:szCs w:val="22"/>
                <w:lang w:val="en-US"/>
              </w:rPr>
              <w:t>Orice persoană fizică ce deţine sau controlează în cele din urmă clientul şi/sau persoana fizică în numele ori în interesul căruia/căreia se realizează, direct sau indirect, o tranzacţie, o operaţiune sau o activitate, conform Legii nr. 129/2019</w:t>
            </w:r>
            <w:r>
              <w:rPr>
                <w:rFonts w:ascii="Montserrat" w:hAnsi="Montserrat" w:cs="Calibri"/>
                <w:sz w:val="22"/>
                <w:szCs w:val="22"/>
                <w:lang w:val="en-US"/>
              </w:rPr>
              <w:t>.</w:t>
            </w:r>
          </w:p>
        </w:tc>
      </w:tr>
      <w:tr w:rsidR="00C0028A"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substanţe toxice, persoane care au părăsit penitenciarele, familii monoparentale, persoane afectate de violenţa în familie, victime ale traficului de fiinţe umane, persoane infectate sau bolnave HIV/SIDA, fără venituri sau cu venituri mici, imigranţi, persoane fără adăpost, bolnavi cronici, persoane care suferă de boli incurabile, precum şi alte persoane aflate în situaţii de nevoie socială. (art. 25 din </w:t>
            </w:r>
            <w:r w:rsidRPr="00CF4730">
              <w:rPr>
                <w:rFonts w:ascii="Montserrat" w:hAnsi="Montserrat" w:cs="Arial"/>
                <w:sz w:val="22"/>
                <w:szCs w:val="22"/>
                <w:lang w:val="ro-RO"/>
              </w:rPr>
              <w:lastRenderedPageBreak/>
              <w:t>Ordonanţa nr. 68 /28 august 2003[3] privind serviciile sociale, cu modificările şi completările ulterioare).</w:t>
            </w:r>
          </w:p>
        </w:tc>
      </w:tr>
      <w:tr w:rsidR="00C0028A"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tipul de solicitanţi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de începere şi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evaluării tehnice şi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data estimată de începere şi finalizare a perioadei de implementare a proiectelor.</w:t>
            </w:r>
          </w:p>
        </w:tc>
      </w:tr>
      <w:tr w:rsidR="00C0028A"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Centrele sociale cu destinaţie multifuncţională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Centre care pot acoperi o gamă variată de servicii, care includ şi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viaţă independente şi a competenţelor profesionale.</w:t>
            </w:r>
          </w:p>
        </w:tc>
      </w:tr>
      <w:tr w:rsidR="00C0028A"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şi din </w:t>
            </w:r>
            <w:r w:rsidRPr="00CF4730">
              <w:rPr>
                <w:rFonts w:ascii="Montserrat" w:hAnsi="Montserrat" w:cs="Arial"/>
                <w:sz w:val="22"/>
                <w:szCs w:val="22"/>
                <w:lang w:val="ro-RO"/>
              </w:rPr>
              <w:lastRenderedPageBreak/>
              <w:t>bugetul de stat şi/sau contribuția proprie a beneficiarului, conform reglementărilor legale comunitare şi naționale în vigoare. Categoriile de cheltuieli eligibile sunt detaliate pentru fiecare prioritate de investiții în parte în cadrul ordinelor de cheltuieli ne-eligibile.</w:t>
            </w:r>
          </w:p>
        </w:tc>
      </w:tr>
      <w:tr w:rsidR="00C0028A"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În înțelesul prezentului Ghid, reprezintă cheltuieli inerente realizării proiectelor finanțate din instrumentele structurale în cadrul programelor operaționale, care nu pot fi finanțate din instrumentele structurale, conform reglementărilor comunitare şi naționale.</w:t>
            </w:r>
          </w:p>
        </w:tc>
      </w:tr>
      <w:tr w:rsidR="00C0028A"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Cifra de afaceri anuală netă este stabilită prin calcularea veniturilor pe care întreprinderea le realizează în cursul unui an din vânzări şi servicii, după deducerea reducerilor comerciale şi a taxei pe valoarea adăugată, precum şi a altor taxe indirecte.</w:t>
            </w:r>
          </w:p>
        </w:tc>
      </w:tr>
      <w:tr w:rsidR="00C0028A"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w:t>
            </w:r>
            <w:r w:rsidRPr="00CF4730">
              <w:rPr>
                <w:rFonts w:ascii="Montserrat" w:hAnsi="Montserrat" w:cs="Calibri"/>
                <w:sz w:val="22"/>
                <w:szCs w:val="22"/>
              </w:rPr>
              <w:lastRenderedPageBreak/>
              <w:t xml:space="preserve">comparabilitatea internațională a calificărilor dobândite prin învățământul superior. </w:t>
            </w:r>
          </w:p>
        </w:tc>
      </w:tr>
      <w:tr w:rsidR="00C0028A"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Orice contribuție la finanțarea cheltuielilor eligibile, alta decât co-finanțarea publică, aferentă proiectelor finanțate în cadrul programelor regionale.</w:t>
            </w:r>
          </w:p>
        </w:tc>
      </w:tr>
      <w:tr w:rsidR="00C0028A"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Contract încheiat în formă scrisă prin care o autoritate publică, denumită concedent, transmite, pe o perioadă determinată, unei persoane, denumite concesionar, care acționează pe riscul şi răspunderea sa, dreptul şi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avea calitatea de concedent, în numele statului, județului, oraşului sau comunei: ministerele sau alte organe de specialitate ale administrației publice centrale, pentru </w:t>
            </w:r>
            <w:r w:rsidRPr="00CF4730">
              <w:rPr>
                <w:rFonts w:ascii="Montserrat" w:hAnsi="Montserrat" w:cs="Arial"/>
                <w:sz w:val="22"/>
                <w:szCs w:val="22"/>
                <w:lang w:val="ro-RO"/>
              </w:rPr>
              <w:lastRenderedPageBreak/>
              <w:t>bunurile proprietate publică a statului; consiliile județene, consiliile locale, Consiliul General al Municipiului Bucureşti sau instituțiile publice de interes local, pentru bunurile proprietate publică a județului, oraşului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Vezi Ordonanța de Urgență a Guvernului nr. 54/2006 privind privind regimul contractelor de concesiune de bunuri proprietate publică.</w:t>
            </w:r>
          </w:p>
        </w:tc>
      </w:tr>
      <w:tr w:rsidR="00C0028A"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Lucrările de construcții sunt operațiunile specifice prin care se realizează (edifică) construcții de orice fel sau se desființează construcții şi/sau amenajări asimilabile construcțiilor – conform Ordinului nr. 839 din 2009 pentru aprobarea Normelor metodologice de aplicare a Legii nr. 50 din 1991 privind autorizarea executării lucrărilor de construcții, cu modificările şi completările ulterioare</w:t>
            </w:r>
          </w:p>
        </w:tc>
      </w:tr>
      <w:tr w:rsidR="00C0028A"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CF4730"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Creşterea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Reprezintă îmbunătățirea eficienței utilizării energiei prin schimbări tehnologice, de comportament şi/sau economice. Măsurile de creştere a eficienței sunt toate acele acțiuni care, în mod normal, conduc la o creştere a eficienței energetice ce poate fi verificată, măsurată sau estimată.</w:t>
            </w:r>
          </w:p>
        </w:tc>
      </w:tr>
      <w:tr w:rsidR="00C0028A"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CF4730" w:rsidRDefault="00C0028A" w:rsidP="00FE3A45">
            <w:pPr>
              <w:pStyle w:val="NormalWeb"/>
              <w:spacing w:before="120" w:beforeAutospacing="0" w:after="12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Își menține încadrarea în categoria de întreprindere eligibilă în conformitate cu prevederile Ghidului solicitantului de finanțare </w:t>
            </w:r>
            <w:r w:rsidR="002F2D0E">
              <w:rPr>
                <w:rFonts w:ascii="Montserrat" w:hAnsi="Montserrat" w:cs="Arial"/>
                <w:sz w:val="22"/>
                <w:szCs w:val="22"/>
                <w:lang w:val="en-GB"/>
              </w:rPr>
              <w:t>aplicabil.</w:t>
            </w:r>
          </w:p>
          <w:p w14:paraId="2466A4F5"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Nu se încadrează în categoria întreprinderilor în dificultate.</w:t>
            </w:r>
          </w:p>
          <w:p w14:paraId="10D313D7"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mai beneficiat de ajutoare de stat/de minimis în ultimii doi ani fiscali, inclusiv până la data semnării contractului de finanțare, </w:t>
            </w:r>
          </w:p>
          <w:p w14:paraId="73A90EAE" w14:textId="0CACCD01"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it-IT"/>
              </w:rPr>
              <w:t>Respectă, la data semnării contractului de finanțare îndeplinirea regulilor de cumul din cadrul schemei aplicabile în cadrul apelului de proiecte, precum și celelalte criterii de eligibilitate (dacă este cazul).</w:t>
            </w:r>
          </w:p>
        </w:tc>
      </w:tr>
      <w:tr w:rsidR="00C0028A"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Instituția națională de contact cu Oficiul European de Luptă Antifraudă – OLAF, constituită în cadrul aparatului de lucru al Guvernului României, care acționează pe bază de autonomie funcțională şi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şi a fondurilor de cofinanțare aferente.</w:t>
            </w:r>
          </w:p>
        </w:tc>
      </w:tr>
      <w:tr w:rsidR="00C0028A"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prin care se stabileşte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şi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a-şi satisface propriile necesități.</w:t>
            </w:r>
          </w:p>
        </w:tc>
      </w:tr>
      <w:tr w:rsidR="00C0028A"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Energie provenită din surse nefosile,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vântului, energia solară, energia aerotermală, geotermală și hidrotermală, energia oceanică, hidroenergia, biomasa certificată, gazul din deșeuri, gazele obținute prin tratarea apelor uzate, biocombustibilii etc.</w:t>
            </w:r>
          </w:p>
        </w:tc>
      </w:tr>
      <w:tr w:rsidR="00C0028A"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incubatoare tehnologice şi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ITA reprezintă o entitate din infrastructură a cărei activitate este orientată în principal către facilitarea inițierii şi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CTT este o entitate din infrastructură a cărei activitate constă în stimularea inovării şi transferului tehnologic în scopul introducerii în circuitul economic a rezultatelor cercetării, transformate în produse, procese şi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CIT reprezintă o entitate din infrastructură care desfăşoară activități de diseminare a informațiilor referitoare la rezultatele cercetării-dezvoltării, documentare tehnologică şi instruire a agenților economici, în scopul stimulării valorificării rezultatelor, creării şi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Evaluarea tehnică şi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şi bugetele fondurilor speciale, după caz, bugetele instituțiilor publice finanțate integral din venituri proprii, bugetul fondurilor provenite din credite externe contractate sau garantate de stat şi ale căror rambursare, dobânzi şi alte costuri se asigură din fonduri publice; bugetul fondurilor externe nerambursabile.</w:t>
            </w:r>
          </w:p>
        </w:tc>
      </w:tr>
      <w:tr w:rsidR="00C0028A"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de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retragere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vizită la locația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realizea confruntarea elementelor menționate în cadrul documentaţiei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i recomandari cu privire la aspectele verificate.</w:t>
            </w:r>
          </w:p>
        </w:tc>
      </w:tr>
      <w:tr w:rsidR="00C0028A"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C0028A"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t>Instituţii publice care dezvoltă compartimente de asistenţă socială specializate, constituite şi care funcţionează în conformitate cu Ordonanţa Guvernului nr. 68 din 2003 privind serviciile sociale şi Hotărârea nr. 539 din 2005 pentru aprobarea Nomenclatorului instituţiilor de asistenţă socială şi a structurii orientative de personal, a Regulamentului-cadru de organizare şi funcţionare a instituţiilor de asistenţă socială, precum şi a Normelor metodologice de aplicare a prevederilorOrdonanţei Guvernului nr. 68 din 2003 privind serviciile sociale şi Legea nr. 197 din 2012 privind asigurarea calităţii în domeniul serviciilor sociale.</w:t>
            </w:r>
          </w:p>
          <w:p w14:paraId="2DBD9EF5" w14:textId="4F37D3AA"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t>Unităţi de asistenţă medico-socială, înfiinţate în conformitate cu prevederile HG nr. 412 din 2003 pentru aprobarea Normelor privind organizarea, funcţionarea şi finanţarea unităţilor de asistenţă medico-sociale şi acreditate ca furnizori de servicii sociale în conformitate cu prevederile art. 25 din Anexa nr. 2 Metodologia de acreditare a furnizorilor de servicii sociale la HG nr. 1024 din 2004 pentru aprobarea Normelor metodologice de aplicare a prevederilor Ordonanţei Guvernului nr. 68 din 2003 privind serviciile sociale, precum şi a Metodologiei de acreditare a furnizorilor de servicii sociale</w:t>
            </w:r>
          </w:p>
        </w:tc>
      </w:tr>
      <w:tr w:rsidR="00C0028A"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cerinţelor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Structură partenerială formată din reprezentanți ai intereselor socio-economice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şi niciun grup de interese nu trebuie să dețină singur mai mult de 49% din drepturile de vot.</w:t>
            </w:r>
          </w:p>
        </w:tc>
      </w:tr>
      <w:tr w:rsidR="00C0028A"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7 din 1996, cu modificările şi completările ulterioare.</w:t>
            </w:r>
          </w:p>
        </w:tc>
      </w:tr>
      <w:tr w:rsidR="00C0028A"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Incubatorul de afaceri este o structură partenerială locală sau regională, care urmăreşte crearea unui mediu favorabil, sustenabil, pentru întreprinderile mici şi mjlocii nou înființate şi cele inovative stimulându-le potențialul de dezvoltare şi de viabilitate, ajutându-le să supraviețuiască şi să crească în perioada de început, atunci când sunt cel mai vulnerabile.</w:t>
            </w:r>
          </w:p>
        </w:tc>
      </w:tr>
      <w:tr w:rsidR="00C0028A"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Institutul Naţional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Institutul Naţional al Monumentelor Istorice, denumit în continuare INMI, este înfiinţat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(1) din Legea nr. 422/2001 ca instituţie publică, cu personalitate juridică, în subordinea Ministerului Culturii şi Cultelor şi este finanţat de la bugetul de stat şi din venituri extrabugetare.</w:t>
            </w:r>
          </w:p>
          <w:p w14:paraId="1E3EDC95" w14:textId="70DF54C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şi funcţionarea institutului este reglementată de Hotărârea Guvernului nr. 1410/2009. INMI este organizat ca instituţie subordonată Ministerului Culturii şi Cultelor şi are ca obiectiv principal asigurarea desfăşurării unor activităţi din domeniul strategiei naţionale în domeniul protejării  monumentelor istorice.  </w:t>
            </w:r>
          </w:p>
        </w:tc>
      </w:tr>
      <w:tr w:rsidR="00C0028A"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Întreprinderi mici (inclusiv microîntreprinderi) şi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realizează o cifră de afaceri anuală netă de până la 50 milioane de euro, echivalent în lei, sau dețin active totale care nu depăşesc echivalentul în lei a 43 milioane de euro, conform ultimei situații financiare aprobate.</w:t>
            </w:r>
          </w:p>
          <w:p w14:paraId="7058C5AC" w14:textId="71458185"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Investiție în active corporale şi/sau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Documentul în cadrul căruia se ordonează proiectele care au fost selectate la finanțare în urma parcurgerii etapei de evaluare și selecție, în conformitate cu prevederile GS (Ghidului SolicitantuluI) și în funcție de încadrarea în alocarea apelului de proiecte.</w:t>
            </w:r>
          </w:p>
        </w:tc>
      </w:tr>
      <w:tr w:rsidR="00C0028A"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Orice fel de lucrări de intervenţii necesare pentru îmbunătăţirea performanţelor de siguranţă şi exploatare a construcţiilor existente, inclusiv a instalaţiilor aferente, în scopul prelungirii duratei de exploatare prin aducerea acestora la nivelul cerinţelor esenţiale de calitate prevăzute de lege. -  conform Legii nr. 50 din 1991 privind autorizarea executării lucrărilor de construcții</w:t>
            </w:r>
          </w:p>
        </w:tc>
      </w:tr>
      <w:tr w:rsidR="00C0028A"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Elementele funcționale şi/sau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şi altele asemenea. – Conform Anexei 2 la Legea nr. 50 din 1991 privind autorizarea executării lucrărilor de construcții, cu modificările şi completările ulterioare.</w:t>
            </w:r>
          </w:p>
        </w:tc>
      </w:tr>
      <w:tr w:rsidR="00C0028A"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Construcţie sau parte de construcţie, împreună cu instalaţiile, componentele artistice, elementele de mobilare interioară sau exterioară care fac parte integrantă din acestea, precum şi lucrări artistice comemorative, funerare, de for public, împreună cu terenul aferent delimitat topografic, care constituie mărturii cultural-istorice semnificative din punct de vedere arhitectural, arheologic, artistic, etnografic, religios, social, ştiinţific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Bunuri imobile, construcţii şi terenuri situate pe teritoriul româniei, semnificative pentru istoria, cultura şi civilizaţia naţională şi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Ansamblul de cerinţe indispensabile fiecărei persoane pentru asigurarea condiţiilor de viaţă, în vederea integrării sociale. - conform Legii nr. 292 din 2011, a asistenţei sociale</w:t>
            </w:r>
          </w:p>
        </w:tc>
      </w:tr>
      <w:tr w:rsidR="00C0028A"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5EB1E65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Ansamblul componentelor şi structurilor fizico-geografice, floristice, faunistice şi biocenotice ale mediului natural, ale căror importanţă şi valoare ecologică, economică, ştiinţifică, biogenă, sanogenă, peisagistică şi recreativă au o semnificaţie relevantă sub aspectul conservării diversităţii biologice floristice şi faunistice, al integrităţii funcţionale a ecosistemelor, conservării patrimoniului genetic, vegetal şi animal, precum şi pentru satisfacerea cerinţelor de viaţă, bunăstare, cultură şi civilizaţie ale generaţiilor prezente şi viitoare, conform OUG nr. 57 din 2007, cu modificările şi completările ulterioare.</w:t>
            </w:r>
          </w:p>
        </w:tc>
      </w:tr>
      <w:tr w:rsidR="00C0028A"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şi se înmulțesc plante erbacee şi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2303FD" w:rsidRDefault="00C0028A" w:rsidP="002303FD">
            <w:pPr>
              <w:spacing w:before="120" w:after="120"/>
              <w:rPr>
                <w:rFonts w:ascii="Montserrat" w:eastAsia="SimSun" w:hAnsi="Montserrat" w:cs="Calibri"/>
                <w:bCs/>
                <w:sz w:val="22"/>
                <w:szCs w:val="22"/>
                <w:lang w:val="ro-RO"/>
              </w:rPr>
            </w:pPr>
            <w:r w:rsidRPr="00CF4730">
              <w:rPr>
                <w:rFonts w:ascii="Montserrat" w:hAnsi="Montserrat"/>
                <w:sz w:val="22"/>
                <w:szCs w:val="22"/>
              </w:rPr>
              <w:t>Perioada de durabilitate</w:t>
            </w:r>
            <w:r w:rsidR="002303FD">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23B8C854" w:rsidR="00C0028A" w:rsidRPr="00A0778F" w:rsidRDefault="002303FD" w:rsidP="00FE3A45">
            <w:pPr>
              <w:tabs>
                <w:tab w:val="left" w:pos="1017"/>
              </w:tabs>
              <w:spacing w:before="120" w:after="120"/>
              <w:ind w:right="179"/>
              <w:jc w:val="both"/>
              <w:rPr>
                <w:rFonts w:ascii="Montserrat" w:eastAsia="SimSun" w:hAnsi="Montserrat" w:cs="Calibri"/>
                <w:sz w:val="22"/>
                <w:szCs w:val="22"/>
                <w:lang w:val="ro-RO"/>
              </w:rPr>
            </w:pPr>
            <w:r w:rsidRPr="002303FD">
              <w:rPr>
                <w:rFonts w:ascii="Montserrat" w:hAnsi="Montserrat"/>
                <w:sz w:val="22"/>
                <w:szCs w:val="22"/>
              </w:rPr>
              <w:t>Perioada care începe din ziua calendaristică imediat următoare efectuării ultimei plății de către finanțator în cadrul contractului de finanțare, notificată de către acesta prin Informarea privind cheltuielile aprobate în cererea de rambursare finală și are o durată de cinci ani  sau trei ani calendaristici, după caz, în cadrul căreia beneficiarul finanțării trebuie să mențină investiția și indicatorii asumați.</w:t>
            </w:r>
          </w:p>
        </w:tc>
      </w:tr>
      <w:tr w:rsidR="00C0028A"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CF4730" w:rsidRDefault="00C0028A" w:rsidP="00FE3A45">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
        </w:tc>
      </w:tr>
      <w:tr w:rsidR="00C0028A"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966F1A"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966F1A"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instrumentul de planificare strategică teritorială prin care este corelată dezvoltarea spațială a localităților și a zonei periurbane/metropolitane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finațare,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lang w:val="ro-RO"/>
              </w:rPr>
              <w:t>Prag minim de prioritizare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075054" w:rsidRPr="00A0778F" w14:paraId="09C41D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075054" w:rsidRPr="00A0778F" w:rsidRDefault="0007505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075054" w:rsidRPr="00CF4730" w:rsidRDefault="00075054" w:rsidP="00FE3A45">
            <w:pPr>
              <w:spacing w:before="120" w:after="120"/>
              <w:rPr>
                <w:rFonts w:ascii="Montserrat" w:hAnsi="Montserrat"/>
                <w:sz w:val="22"/>
                <w:szCs w:val="22"/>
                <w:lang w:val="ro-RO"/>
              </w:rPr>
            </w:pPr>
            <w:r w:rsidRPr="00075054">
              <w:rPr>
                <w:rFonts w:ascii="Montserrat" w:hAnsi="Montserrat"/>
                <w:sz w:val="22"/>
                <w:szCs w:val="22"/>
                <w:lang w:val="ro-RO"/>
              </w:rPr>
              <w:t>Procedura de infringement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1F995A06" w:rsidR="00075054" w:rsidRPr="00317631" w:rsidRDefault="00450B29" w:rsidP="00FE3A45">
            <w:pPr>
              <w:tabs>
                <w:tab w:val="left" w:pos="1017"/>
              </w:tabs>
              <w:spacing w:before="120" w:after="120"/>
              <w:ind w:right="179"/>
              <w:jc w:val="both"/>
              <w:rPr>
                <w:rFonts w:ascii="Montserrat" w:hAnsi="Montserrat" w:cs="Arial"/>
                <w:noProof/>
                <w:sz w:val="22"/>
                <w:szCs w:val="22"/>
                <w:lang w:val="ro-RO"/>
              </w:rPr>
            </w:pPr>
            <w:r>
              <w:rPr>
                <w:rFonts w:ascii="Montserrat" w:hAnsi="Montserrat" w:cs="Arial"/>
                <w:noProof/>
                <w:sz w:val="22"/>
                <w:szCs w:val="22"/>
                <w:lang w:val="ro-RO"/>
              </w:rPr>
              <w:t>Reprezintă m</w:t>
            </w:r>
            <w:r w:rsidR="00075054" w:rsidRPr="00075054">
              <w:rPr>
                <w:rFonts w:ascii="Montserrat" w:hAnsi="Montserrat" w:cs="Arial"/>
                <w:noProof/>
                <w:sz w:val="22"/>
                <w:szCs w:val="22"/>
                <w:lang w:val="ro-RO"/>
              </w:rPr>
              <w:t>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C0028A"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A0778F" w:rsidRDefault="00C0028A" w:rsidP="00FE3A45">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317631"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w:t>
            </w:r>
          </w:p>
        </w:tc>
      </w:tr>
      <w:tr w:rsidR="00C0028A"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tehnic de execuţie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C0028A" w:rsidRPr="00A0778F" w:rsidRDefault="00C0028A" w:rsidP="00FE3A45">
            <w:pPr>
              <w:tabs>
                <w:tab w:val="left" w:pos="1017"/>
              </w:tabs>
              <w:spacing w:before="120" w:after="120"/>
              <w:ind w:right="174"/>
              <w:jc w:val="both"/>
              <w:rPr>
                <w:rFonts w:ascii="Montserrat" w:eastAsia="SimSun" w:hAnsi="Montserrat" w:cs="Calibri"/>
                <w:sz w:val="22"/>
                <w:szCs w:val="22"/>
                <w:lang w:val="ro-RO"/>
              </w:rPr>
            </w:pPr>
            <w:r w:rsidRPr="00CF4730">
              <w:rPr>
                <w:rFonts w:ascii="Montserrat" w:hAnsi="Montserrat" w:cs="Arial"/>
                <w:sz w:val="22"/>
                <w:szCs w:val="22"/>
                <w:lang w:val="ro-RO"/>
              </w:rPr>
              <w:t>Documentaţia prin care proiectantul dezvoltă, detaliază şi, după caz, optimizează, prin propuneri tehnice, scenariul/opţiunea aprobat (ă) în cadrul studiului de fezabilitate/documentaţiei de avizare a lucrărilor de intervenţii; componenta tehnologică a soluţiei tehnice poate fi definitivată ori adaptată tehnologiilor adecvate aplicabile pentru realizarea obiectivului de investiţii, la faza de proiectare - proiect tehnic de execuţie, în condiţiile respectării indicatorilor tehnico</w:t>
            </w:r>
            <w:r w:rsidR="004A2915">
              <w:rPr>
                <w:rFonts w:ascii="Montserrat" w:hAnsi="Montserrat" w:cs="Arial"/>
                <w:sz w:val="22"/>
                <w:szCs w:val="22"/>
                <w:lang w:val="ro-RO"/>
              </w:rPr>
              <w:t>-</w:t>
            </w:r>
            <w:r w:rsidRPr="00CF4730">
              <w:rPr>
                <w:rFonts w:ascii="Montserrat" w:hAnsi="Montserrat" w:cs="Arial"/>
                <w:sz w:val="22"/>
                <w:szCs w:val="22"/>
                <w:lang w:val="ro-RO"/>
              </w:rPr>
              <w:t>economici aprobaţi şi a autorizaţiei de construire/desfiinţare.</w:t>
            </w:r>
          </w:p>
        </w:tc>
      </w:tr>
      <w:tr w:rsidR="00C0028A"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Protecţia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Activităţi care au ca scop paza şi întreţinerea clădirilor de patrimoniu/ patrimoniului cultural.</w:t>
            </w:r>
          </w:p>
        </w:tc>
      </w:tr>
      <w:tr w:rsidR="00C0028A"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Document elaborat în urma desfăşurării activităţii de auditare energetică a clădirii, care conține descrierea modului în care a fost efectuat auditul energetic, a principalelor caracteristici termice și energetice ale clădirii/unităţii de clădire și, acolo unde este cazul, a măsurilor propuse pentru creşterea performanței energetice a clădirii/unităţii de clădire și instalațiilor interioare aferente acesteia, precum și a principalelor concluzii referitoare la eficienţa economică a aplicării măsurilor propuse și durata de recuperare a investiţiei.</w:t>
            </w:r>
          </w:p>
        </w:tc>
      </w:tr>
      <w:tr w:rsidR="00C0028A"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uşoare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Ansamblu complex de măsuri şi acţiuni realizate pentru a răspunde nevoilor sociale ale persoanelor, familiilor, grupurilor sau comunităţilor, în vederea prevenirii şi depăşirii unor situaţii de dificultate, vulnerabilitate ori dependenţă, pentru creşterea calităţii vieţii şi promovarea coeziunii sociale; serviciile sociale se pot organiza în forme diverse, stabilite prin nomenclatorul 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conform Legii nr. 292 din 2011 a asistenţei sociale</w:t>
            </w:r>
          </w:p>
        </w:tc>
      </w:tr>
      <w:tr w:rsidR="00C0028A"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FE3A45">
            <w:pPr>
              <w:spacing w:before="120" w:after="120"/>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tranformată în energie electrică în urma efectului fotoelectric. </w:t>
            </w:r>
          </w:p>
        </w:tc>
      </w:tr>
      <w:tr w:rsidR="00C0028A"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C0028A"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Societate constituită în baza Legii 1/2005 privind organizarea şi funcționarea cooperației, cu modificările şi completările ulterioare</w:t>
            </w:r>
          </w:p>
        </w:tc>
      </w:tr>
      <w:tr w:rsidR="00C0028A"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FE3A45">
            <w:pPr>
              <w:spacing w:before="120" w:after="120"/>
              <w:ind w:right="179"/>
              <w:jc w:val="both"/>
              <w:rPr>
                <w:rFonts w:ascii="Montserrat" w:hAnsi="Montserrat" w:cs="Arial"/>
                <w:sz w:val="22"/>
                <w:szCs w:val="22"/>
              </w:rPr>
            </w:pPr>
          </w:p>
          <w:p w14:paraId="4B745C22" w14:textId="7DBE4F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C0028A"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C0028A"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un set coerent de operațiuni care vizează atingerea obiectivelor și acoperirea nevoilor locale care contribuie la atingerea obiectivelor Strategiei Europa 2020 a UE pentru o creștere inteligentă, durabilă și favorabilă incluziunii, conceput şi implementat de un grup de acțiune locală.</w:t>
            </w:r>
          </w:p>
        </w:tc>
      </w:tr>
      <w:tr w:rsidR="00C0028A"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C0028A"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sidR="00AF6E98">
              <w:rPr>
                <w:rFonts w:ascii="Montserrat" w:hAnsi="Montserrat" w:cs="Arial"/>
                <w:sz w:val="22"/>
                <w:szCs w:val="22"/>
                <w:lang w:val="ro-RO"/>
              </w:rPr>
              <w:t xml:space="preserve"> </w:t>
            </w:r>
            <w:r w:rsidRPr="00CF4730">
              <w:rPr>
                <w:rFonts w:ascii="Montserrat" w:hAnsi="Montserrat" w:cs="Arial"/>
                <w:sz w:val="22"/>
                <w:szCs w:val="22"/>
                <w:lang w:val="ro-RO"/>
              </w:rPr>
              <w:t>V</w:t>
            </w:r>
            <w:r w:rsidR="00AF6E98">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C0028A" w:rsidRPr="005D624E"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C0028A" w:rsidRPr="00CF4730" w:rsidRDefault="00C0028A" w:rsidP="00FE3A45">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C0028A"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construcţii-montaj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 xml:space="preserve">cuprinde cheltuielile prevăzute la cap./subcap. 1.2, 1.3, 1.4, 2, 4.1, 4.2, 5.1.1 din devizul general. </w:t>
            </w:r>
          </w:p>
        </w:tc>
      </w:tr>
      <w:tr w:rsidR="00C0028A"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Proces complet digitalizat, realizat în mod automat prin sistemul informatic MySMIS2021/SMIS2021+, pe baza declaraţiei unice generate de sistemul informatic MySMIS2021/SMIS2021+. Finalul etapei îl reprezintă emiterea unei notificări prin intermediul aplicaţiei MySMIS2021/SMIS2021+, cu privire la trecerea proiectului în etapa de evaluare tehnică şi financiară sau, după caz, cu privire la nerespectarea cerinţelor de conformitate administrativă, situaţie în care nu este demarată etapa de evaluare tehnică şi financiară.</w:t>
            </w:r>
          </w:p>
        </w:tc>
      </w:tr>
      <w:tr w:rsidR="00C0028A"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C0028A"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C0028A"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r w:rsidR="00B927F2">
              <w:rPr>
                <w:rFonts w:ascii="Montserrat" w:hAnsi="Montserrat" w:cs="Calibri"/>
                <w:sz w:val="22"/>
                <w:szCs w:val="22"/>
                <w:lang w:val="ro-RO"/>
              </w:rPr>
              <w:t>ru</w:t>
            </w:r>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C0028A"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220247">
      <w:headerReference w:type="default" r:id="rId9"/>
      <w:footerReference w:type="even" r:id="rId10"/>
      <w:footerReference w:type="default" r:id="rId11"/>
      <w:pgSz w:w="11906" w:h="16838"/>
      <w:pgMar w:top="2038" w:right="1133" w:bottom="2543"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BA85EC" w14:textId="77777777" w:rsidR="00855B7E" w:rsidRDefault="00855B7E" w:rsidP="00ED68A0">
      <w:r>
        <w:separator/>
      </w:r>
    </w:p>
  </w:endnote>
  <w:endnote w:type="continuationSeparator" w:id="0">
    <w:p w14:paraId="2A7CB52E" w14:textId="77777777" w:rsidR="00855B7E" w:rsidRDefault="00855B7E"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5243CB" w14:textId="77777777" w:rsidR="00855B7E" w:rsidRDefault="00855B7E" w:rsidP="00ED68A0">
      <w:r>
        <w:separator/>
      </w:r>
    </w:p>
  </w:footnote>
  <w:footnote w:type="continuationSeparator" w:id="0">
    <w:p w14:paraId="7801C55A" w14:textId="77777777" w:rsidR="00855B7E" w:rsidRDefault="00855B7E"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7"/>
  </w:num>
  <w:num w:numId="3" w16cid:durableId="1738241613">
    <w:abstractNumId w:val="13"/>
  </w:num>
  <w:num w:numId="4" w16cid:durableId="1489783627">
    <w:abstractNumId w:val="5"/>
  </w:num>
  <w:num w:numId="5" w16cid:durableId="33776826">
    <w:abstractNumId w:val="15"/>
  </w:num>
  <w:num w:numId="6" w16cid:durableId="268125447">
    <w:abstractNumId w:val="2"/>
  </w:num>
  <w:num w:numId="7" w16cid:durableId="414133020">
    <w:abstractNumId w:val="8"/>
  </w:num>
  <w:num w:numId="8" w16cid:durableId="368116942">
    <w:abstractNumId w:val="12"/>
  </w:num>
  <w:num w:numId="9" w16cid:durableId="123813589">
    <w:abstractNumId w:val="1"/>
  </w:num>
  <w:num w:numId="10" w16cid:durableId="1937861410">
    <w:abstractNumId w:val="3"/>
  </w:num>
  <w:num w:numId="11" w16cid:durableId="615215407">
    <w:abstractNumId w:val="11"/>
  </w:num>
  <w:num w:numId="12" w16cid:durableId="245891379">
    <w:abstractNumId w:val="4"/>
  </w:num>
  <w:num w:numId="13" w16cid:durableId="1257978312">
    <w:abstractNumId w:val="6"/>
  </w:num>
  <w:num w:numId="14" w16cid:durableId="1233851972">
    <w:abstractNumId w:val="14"/>
  </w:num>
  <w:num w:numId="15" w16cid:durableId="2116438720">
    <w:abstractNumId w:val="10"/>
  </w:num>
  <w:num w:numId="16" w16cid:durableId="144522794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50BD0"/>
    <w:rsid w:val="00051A13"/>
    <w:rsid w:val="00051D5C"/>
    <w:rsid w:val="00052049"/>
    <w:rsid w:val="000555F3"/>
    <w:rsid w:val="00063099"/>
    <w:rsid w:val="0006713A"/>
    <w:rsid w:val="00070CB1"/>
    <w:rsid w:val="00075054"/>
    <w:rsid w:val="0007570B"/>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4238"/>
    <w:rsid w:val="003E632E"/>
    <w:rsid w:val="003E7C84"/>
    <w:rsid w:val="003F5760"/>
    <w:rsid w:val="00400A9F"/>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608A"/>
    <w:rsid w:val="004D0CB7"/>
    <w:rsid w:val="004D1259"/>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A31A5"/>
    <w:rsid w:val="005A383A"/>
    <w:rsid w:val="005A3FF5"/>
    <w:rsid w:val="005A5CD9"/>
    <w:rsid w:val="005A5FD9"/>
    <w:rsid w:val="005B2BD6"/>
    <w:rsid w:val="005B6B07"/>
    <w:rsid w:val="005D624E"/>
    <w:rsid w:val="005E1CD1"/>
    <w:rsid w:val="005E3D7F"/>
    <w:rsid w:val="005E7379"/>
    <w:rsid w:val="005F20A6"/>
    <w:rsid w:val="005F2A0F"/>
    <w:rsid w:val="005F5051"/>
    <w:rsid w:val="00600BE5"/>
    <w:rsid w:val="00614AA8"/>
    <w:rsid w:val="0061531B"/>
    <w:rsid w:val="0062345F"/>
    <w:rsid w:val="00631DFA"/>
    <w:rsid w:val="006336A6"/>
    <w:rsid w:val="00636F2A"/>
    <w:rsid w:val="006461F4"/>
    <w:rsid w:val="00650FD0"/>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4B0F"/>
    <w:rsid w:val="00995C5A"/>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E466E"/>
    <w:rsid w:val="00AE4A59"/>
    <w:rsid w:val="00AE6EA7"/>
    <w:rsid w:val="00AF207F"/>
    <w:rsid w:val="00AF6E98"/>
    <w:rsid w:val="00AF7862"/>
    <w:rsid w:val="00B06C73"/>
    <w:rsid w:val="00B105EA"/>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18</Pages>
  <Words>14533</Words>
  <Characters>82839</Characters>
  <Application>Microsoft Office Word</Application>
  <DocSecurity>0</DocSecurity>
  <Lines>690</Lines>
  <Paragraphs>194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54</cp:revision>
  <cp:lastPrinted>2022-10-03T11:22:00Z</cp:lastPrinted>
  <dcterms:created xsi:type="dcterms:W3CDTF">2023-05-16T08:52:00Z</dcterms:created>
  <dcterms:modified xsi:type="dcterms:W3CDTF">2023-10-16T14:22:00Z</dcterms:modified>
</cp:coreProperties>
</file>